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02" w:rsidRPr="00A8123E" w:rsidRDefault="00A8123E" w:rsidP="00BC72D9">
      <w:pPr>
        <w:jc w:val="center"/>
        <w:rPr>
          <w:b/>
          <w:color w:val="FF3399"/>
          <w:sz w:val="36"/>
          <w:szCs w:val="36"/>
        </w:rPr>
      </w:pPr>
      <w:r w:rsidRPr="00A8123E">
        <w:rPr>
          <w:b/>
          <w:color w:val="FF3399"/>
          <w:sz w:val="36"/>
          <w:szCs w:val="36"/>
        </w:rPr>
        <w:t xml:space="preserve">Salford Credit Union Data </w:t>
      </w:r>
      <w:r w:rsidR="00BC72D9" w:rsidRPr="00A8123E">
        <w:rPr>
          <w:b/>
          <w:color w:val="FF3399"/>
          <w:sz w:val="36"/>
          <w:szCs w:val="36"/>
        </w:rPr>
        <w:t>Retention Policy</w:t>
      </w:r>
    </w:p>
    <w:p w:rsidR="00A8123E" w:rsidRDefault="00A8123E" w:rsidP="00A8123E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We are required to keep records in accordance with </w:t>
      </w:r>
      <w:r>
        <w:rPr>
          <w:sz w:val="23"/>
          <w:szCs w:val="23"/>
        </w:rPr>
        <w:t xml:space="preserve">legislation, including the </w:t>
      </w:r>
      <w:r>
        <w:t>Co-operative and Community Benefit Societies Act 2014</w:t>
      </w:r>
      <w:r>
        <w:t xml:space="preserve"> which superseded the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Industrial and Provident Societies Act 1965</w:t>
      </w:r>
      <w:r>
        <w:rPr>
          <w:sz w:val="23"/>
          <w:szCs w:val="23"/>
        </w:rPr>
        <w:t xml:space="preserve"> and regulations in relation to the</w:t>
      </w:r>
      <w:r>
        <w:rPr>
          <w:sz w:val="23"/>
          <w:szCs w:val="23"/>
        </w:rPr>
        <w:t xml:space="preserve"> Financial Conduct Authority (FCA) and Prudential Regulatory Authority (PRA) Regulations, Data Protection Regulations and Anti Money Laundering Regulations as well as HMRC requirements. </w:t>
      </w:r>
    </w:p>
    <w:p w:rsidR="00A8123E" w:rsidRDefault="00A8123E" w:rsidP="00A8123E">
      <w:pPr>
        <w:pStyle w:val="Default"/>
        <w:rPr>
          <w:sz w:val="23"/>
          <w:szCs w:val="23"/>
        </w:rPr>
      </w:pPr>
    </w:p>
    <w:p w:rsidR="00A8123E" w:rsidRDefault="00A8123E" w:rsidP="00A812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Salford Credit Union data retention schedule is as below: </w:t>
      </w:r>
    </w:p>
    <w:p w:rsidR="006240E3" w:rsidRDefault="006240E3" w:rsidP="006240E3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835"/>
        <w:gridCol w:w="2410"/>
      </w:tblGrid>
      <w:tr w:rsidR="00A8123E" w:rsidRPr="006240E3" w:rsidTr="00A8123E">
        <w:trPr>
          <w:trHeight w:hRule="exact" w:val="1247"/>
          <w:jc w:val="center"/>
        </w:trPr>
        <w:tc>
          <w:tcPr>
            <w:tcW w:w="3397" w:type="dxa"/>
          </w:tcPr>
          <w:p w:rsidR="00A8123E" w:rsidRPr="00C925FA" w:rsidRDefault="00A8123E" w:rsidP="006240E3">
            <w:pPr>
              <w:jc w:val="center"/>
              <w:rPr>
                <w:b/>
                <w:sz w:val="28"/>
                <w:szCs w:val="28"/>
              </w:rPr>
            </w:pPr>
          </w:p>
          <w:p w:rsidR="00A8123E" w:rsidRPr="00C925FA" w:rsidRDefault="00A8123E" w:rsidP="006240E3">
            <w:pPr>
              <w:jc w:val="center"/>
              <w:rPr>
                <w:b/>
                <w:sz w:val="28"/>
                <w:szCs w:val="28"/>
              </w:rPr>
            </w:pPr>
            <w:r w:rsidRPr="00C925FA">
              <w:rPr>
                <w:b/>
                <w:sz w:val="28"/>
                <w:szCs w:val="28"/>
              </w:rPr>
              <w:t>Membership Records</w:t>
            </w:r>
          </w:p>
        </w:tc>
        <w:tc>
          <w:tcPr>
            <w:tcW w:w="2835" w:type="dxa"/>
          </w:tcPr>
          <w:p w:rsidR="00A8123E" w:rsidRPr="00C925FA" w:rsidRDefault="00A8123E" w:rsidP="006240E3">
            <w:pPr>
              <w:jc w:val="center"/>
              <w:rPr>
                <w:b/>
                <w:sz w:val="28"/>
                <w:szCs w:val="28"/>
              </w:rPr>
            </w:pPr>
          </w:p>
          <w:p w:rsidR="00A8123E" w:rsidRPr="00C925FA" w:rsidRDefault="00A8123E" w:rsidP="000A7DC3">
            <w:pPr>
              <w:jc w:val="center"/>
              <w:rPr>
                <w:b/>
                <w:sz w:val="28"/>
                <w:szCs w:val="28"/>
              </w:rPr>
            </w:pPr>
            <w:r w:rsidRPr="00C925FA">
              <w:rPr>
                <w:b/>
                <w:sz w:val="28"/>
                <w:szCs w:val="28"/>
              </w:rPr>
              <w:t>Required by</w:t>
            </w:r>
          </w:p>
        </w:tc>
        <w:tc>
          <w:tcPr>
            <w:tcW w:w="2410" w:type="dxa"/>
          </w:tcPr>
          <w:p w:rsidR="00A8123E" w:rsidRPr="00C925FA" w:rsidRDefault="00A8123E" w:rsidP="006240E3">
            <w:pPr>
              <w:jc w:val="center"/>
              <w:rPr>
                <w:b/>
                <w:sz w:val="28"/>
                <w:szCs w:val="28"/>
              </w:rPr>
            </w:pPr>
          </w:p>
          <w:p w:rsidR="00A8123E" w:rsidRPr="00C925FA" w:rsidRDefault="00A8123E" w:rsidP="006240E3">
            <w:pPr>
              <w:jc w:val="center"/>
              <w:rPr>
                <w:b/>
                <w:sz w:val="28"/>
                <w:szCs w:val="28"/>
              </w:rPr>
            </w:pPr>
            <w:r w:rsidRPr="00C925FA">
              <w:rPr>
                <w:b/>
                <w:sz w:val="28"/>
                <w:szCs w:val="28"/>
              </w:rPr>
              <w:t>Retention Period</w:t>
            </w:r>
          </w:p>
        </w:tc>
      </w:tr>
      <w:tr w:rsidR="00A8123E" w:rsidRPr="006240E3" w:rsidTr="00A8123E">
        <w:trPr>
          <w:trHeight w:hRule="exact" w:val="1247"/>
          <w:jc w:val="center"/>
        </w:trPr>
        <w:tc>
          <w:tcPr>
            <w:tcW w:w="3397" w:type="dxa"/>
          </w:tcPr>
          <w:p w:rsidR="00A8123E" w:rsidRDefault="00A8123E" w:rsidP="006240E3">
            <w:pPr>
              <w:jc w:val="center"/>
              <w:rPr>
                <w:sz w:val="24"/>
                <w:szCs w:val="24"/>
              </w:rPr>
            </w:pPr>
          </w:p>
          <w:p w:rsidR="00A8123E" w:rsidRPr="006240E3" w:rsidRDefault="00A8123E" w:rsidP="00624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 of Members</w:t>
            </w:r>
          </w:p>
        </w:tc>
        <w:tc>
          <w:tcPr>
            <w:tcW w:w="2835" w:type="dxa"/>
          </w:tcPr>
          <w:p w:rsidR="00A8123E" w:rsidRDefault="00A8123E" w:rsidP="000A7DC3">
            <w:pPr>
              <w:jc w:val="center"/>
              <w:rPr>
                <w:sz w:val="24"/>
                <w:szCs w:val="24"/>
              </w:rPr>
            </w:pPr>
          </w:p>
          <w:p w:rsidR="00A8123E" w:rsidRPr="006240E3" w:rsidRDefault="00A8123E" w:rsidP="000A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Co-operative and Community Benefit Societies Act 2014</w:t>
            </w:r>
          </w:p>
        </w:tc>
        <w:tc>
          <w:tcPr>
            <w:tcW w:w="2410" w:type="dxa"/>
          </w:tcPr>
          <w:p w:rsidR="00A8123E" w:rsidRDefault="00A8123E" w:rsidP="006240E3">
            <w:pPr>
              <w:jc w:val="center"/>
              <w:rPr>
                <w:sz w:val="24"/>
                <w:szCs w:val="24"/>
              </w:rPr>
            </w:pPr>
          </w:p>
          <w:p w:rsidR="00A8123E" w:rsidRPr="006240E3" w:rsidRDefault="00A8123E" w:rsidP="00624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Permanently</w:t>
            </w:r>
          </w:p>
        </w:tc>
      </w:tr>
      <w:tr w:rsidR="00A8123E" w:rsidRPr="006240E3" w:rsidTr="00A8123E">
        <w:trPr>
          <w:trHeight w:hRule="exact" w:val="1247"/>
          <w:jc w:val="center"/>
        </w:trPr>
        <w:tc>
          <w:tcPr>
            <w:tcW w:w="3397" w:type="dxa"/>
          </w:tcPr>
          <w:p w:rsidR="00A8123E" w:rsidRPr="006240E3" w:rsidRDefault="00A8123E" w:rsidP="00624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Rules and Amendments (as registered with the Financial Services Authority)</w:t>
            </w:r>
          </w:p>
        </w:tc>
        <w:tc>
          <w:tcPr>
            <w:tcW w:w="2835" w:type="dxa"/>
          </w:tcPr>
          <w:p w:rsidR="00A8123E" w:rsidRDefault="00A8123E" w:rsidP="006240E3">
            <w:pPr>
              <w:jc w:val="center"/>
              <w:rPr>
                <w:sz w:val="24"/>
                <w:szCs w:val="24"/>
              </w:rPr>
            </w:pPr>
          </w:p>
          <w:p w:rsidR="00A8123E" w:rsidRPr="006240E3" w:rsidRDefault="00A8123E" w:rsidP="000A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Co-operative and Community Benefit Societies Act 2014</w:t>
            </w:r>
          </w:p>
        </w:tc>
        <w:tc>
          <w:tcPr>
            <w:tcW w:w="2410" w:type="dxa"/>
          </w:tcPr>
          <w:p w:rsidR="00A8123E" w:rsidRDefault="00A8123E" w:rsidP="00EA3131">
            <w:pPr>
              <w:jc w:val="center"/>
              <w:rPr>
                <w:sz w:val="24"/>
                <w:szCs w:val="24"/>
              </w:rPr>
            </w:pPr>
          </w:p>
          <w:p w:rsidR="00A8123E" w:rsidRPr="006240E3" w:rsidRDefault="00A8123E" w:rsidP="00EA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Permanently</w:t>
            </w:r>
          </w:p>
        </w:tc>
        <w:bookmarkStart w:id="0" w:name="_GoBack"/>
        <w:bookmarkEnd w:id="0"/>
      </w:tr>
      <w:tr w:rsidR="00A8123E" w:rsidRPr="006240E3" w:rsidTr="00A8123E">
        <w:trPr>
          <w:trHeight w:hRule="exact" w:val="1247"/>
          <w:jc w:val="center"/>
        </w:trPr>
        <w:tc>
          <w:tcPr>
            <w:tcW w:w="3397" w:type="dxa"/>
          </w:tcPr>
          <w:p w:rsidR="00A8123E" w:rsidRPr="006240E3" w:rsidRDefault="00A8123E" w:rsidP="00624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Receipts for any securities held, securities register and register of contracts of guarantee</w:t>
            </w:r>
          </w:p>
        </w:tc>
        <w:tc>
          <w:tcPr>
            <w:tcW w:w="2835" w:type="dxa"/>
          </w:tcPr>
          <w:p w:rsidR="00A8123E" w:rsidRDefault="00A8123E" w:rsidP="000A7DC3">
            <w:pPr>
              <w:jc w:val="center"/>
              <w:rPr>
                <w:sz w:val="24"/>
                <w:szCs w:val="24"/>
              </w:rPr>
            </w:pPr>
          </w:p>
          <w:p w:rsidR="00A8123E" w:rsidRPr="006240E3" w:rsidRDefault="00A8123E" w:rsidP="000A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Co-operative and Community Benefit Societies Act 2014</w:t>
            </w:r>
          </w:p>
        </w:tc>
        <w:tc>
          <w:tcPr>
            <w:tcW w:w="2410" w:type="dxa"/>
          </w:tcPr>
          <w:p w:rsidR="00A8123E" w:rsidRDefault="00A8123E" w:rsidP="00EA3131">
            <w:pPr>
              <w:jc w:val="center"/>
              <w:rPr>
                <w:sz w:val="24"/>
                <w:szCs w:val="24"/>
              </w:rPr>
            </w:pPr>
          </w:p>
          <w:p w:rsidR="00A8123E" w:rsidRPr="006240E3" w:rsidRDefault="00A8123E" w:rsidP="00EA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Permanently</w:t>
            </w:r>
          </w:p>
        </w:tc>
      </w:tr>
      <w:tr w:rsidR="00A8123E" w:rsidRPr="006240E3" w:rsidTr="00A8123E">
        <w:trPr>
          <w:trHeight w:hRule="exact" w:val="1247"/>
          <w:jc w:val="center"/>
        </w:trPr>
        <w:tc>
          <w:tcPr>
            <w:tcW w:w="3397" w:type="dxa"/>
          </w:tcPr>
          <w:p w:rsidR="00A8123E" w:rsidRPr="006240E3" w:rsidRDefault="00A8123E" w:rsidP="00624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Minutes of annual and special general meetings and the meetings of the Board of Directors</w:t>
            </w:r>
          </w:p>
        </w:tc>
        <w:tc>
          <w:tcPr>
            <w:tcW w:w="2835" w:type="dxa"/>
          </w:tcPr>
          <w:p w:rsidR="00A8123E" w:rsidRDefault="00A8123E" w:rsidP="000A7DC3">
            <w:pPr>
              <w:jc w:val="center"/>
              <w:rPr>
                <w:sz w:val="24"/>
                <w:szCs w:val="24"/>
              </w:rPr>
            </w:pPr>
          </w:p>
          <w:p w:rsidR="00A8123E" w:rsidRPr="006240E3" w:rsidRDefault="00A8123E" w:rsidP="000A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Co-operative and Community Benefit Societies Act 2014</w:t>
            </w:r>
          </w:p>
        </w:tc>
        <w:tc>
          <w:tcPr>
            <w:tcW w:w="2410" w:type="dxa"/>
          </w:tcPr>
          <w:p w:rsidR="00A8123E" w:rsidRDefault="00A8123E" w:rsidP="00EA3131">
            <w:pPr>
              <w:jc w:val="center"/>
              <w:rPr>
                <w:sz w:val="24"/>
                <w:szCs w:val="24"/>
              </w:rPr>
            </w:pPr>
          </w:p>
          <w:p w:rsidR="00A8123E" w:rsidRPr="006240E3" w:rsidRDefault="00A8123E" w:rsidP="00EA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Permanently</w:t>
            </w:r>
          </w:p>
        </w:tc>
      </w:tr>
      <w:tr w:rsidR="00A8123E" w:rsidRPr="006240E3" w:rsidTr="00A8123E">
        <w:trPr>
          <w:trHeight w:hRule="exact" w:val="1247"/>
          <w:jc w:val="center"/>
        </w:trPr>
        <w:tc>
          <w:tcPr>
            <w:tcW w:w="3397" w:type="dxa"/>
          </w:tcPr>
          <w:p w:rsidR="00A8123E" w:rsidRDefault="00A8123E" w:rsidP="006240E3">
            <w:pPr>
              <w:jc w:val="center"/>
              <w:rPr>
                <w:sz w:val="24"/>
                <w:szCs w:val="24"/>
              </w:rPr>
            </w:pPr>
          </w:p>
          <w:p w:rsidR="00A8123E" w:rsidRPr="006240E3" w:rsidRDefault="00A8123E" w:rsidP="00624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Members’ Share and Loan Register</w:t>
            </w:r>
          </w:p>
        </w:tc>
        <w:tc>
          <w:tcPr>
            <w:tcW w:w="2835" w:type="dxa"/>
          </w:tcPr>
          <w:p w:rsidR="00A8123E" w:rsidRDefault="00A8123E" w:rsidP="000A7DC3">
            <w:pPr>
              <w:jc w:val="center"/>
              <w:rPr>
                <w:sz w:val="24"/>
                <w:szCs w:val="24"/>
              </w:rPr>
            </w:pPr>
          </w:p>
          <w:p w:rsidR="00A8123E" w:rsidRPr="006240E3" w:rsidRDefault="00A8123E" w:rsidP="000A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Co-operative and Community Benefit Societies Act 2014</w:t>
            </w:r>
          </w:p>
        </w:tc>
        <w:tc>
          <w:tcPr>
            <w:tcW w:w="2410" w:type="dxa"/>
          </w:tcPr>
          <w:p w:rsidR="00A8123E" w:rsidRDefault="00A8123E" w:rsidP="00EA3131">
            <w:pPr>
              <w:jc w:val="center"/>
              <w:rPr>
                <w:sz w:val="24"/>
                <w:szCs w:val="24"/>
              </w:rPr>
            </w:pPr>
          </w:p>
          <w:p w:rsidR="00A8123E" w:rsidRPr="006240E3" w:rsidRDefault="00A8123E" w:rsidP="00EA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Permanently</w:t>
            </w:r>
          </w:p>
        </w:tc>
      </w:tr>
      <w:tr w:rsidR="00A8123E" w:rsidRPr="006240E3" w:rsidTr="00A8123E">
        <w:trPr>
          <w:trHeight w:hRule="exact" w:val="1247"/>
          <w:jc w:val="center"/>
        </w:trPr>
        <w:tc>
          <w:tcPr>
            <w:tcW w:w="3397" w:type="dxa"/>
          </w:tcPr>
          <w:p w:rsidR="00A8123E" w:rsidRDefault="00A8123E" w:rsidP="006240E3">
            <w:pPr>
              <w:jc w:val="center"/>
              <w:rPr>
                <w:sz w:val="24"/>
                <w:szCs w:val="24"/>
              </w:rPr>
            </w:pPr>
          </w:p>
          <w:p w:rsidR="00A8123E" w:rsidRPr="006240E3" w:rsidRDefault="00A8123E" w:rsidP="00624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Copies of Annual Returns</w:t>
            </w:r>
          </w:p>
        </w:tc>
        <w:tc>
          <w:tcPr>
            <w:tcW w:w="2835" w:type="dxa"/>
          </w:tcPr>
          <w:p w:rsidR="00A8123E" w:rsidRDefault="00A8123E" w:rsidP="006240E3">
            <w:pPr>
              <w:jc w:val="center"/>
              <w:rPr>
                <w:sz w:val="24"/>
                <w:szCs w:val="24"/>
              </w:rPr>
            </w:pPr>
          </w:p>
          <w:p w:rsidR="00A8123E" w:rsidRPr="006240E3" w:rsidRDefault="00A8123E" w:rsidP="00624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Regulator</w:t>
            </w:r>
          </w:p>
        </w:tc>
        <w:tc>
          <w:tcPr>
            <w:tcW w:w="2410" w:type="dxa"/>
          </w:tcPr>
          <w:p w:rsidR="00A8123E" w:rsidRDefault="00A8123E" w:rsidP="00EA3131">
            <w:pPr>
              <w:jc w:val="center"/>
              <w:rPr>
                <w:sz w:val="24"/>
                <w:szCs w:val="24"/>
              </w:rPr>
            </w:pPr>
          </w:p>
          <w:p w:rsidR="00A8123E" w:rsidRPr="006240E3" w:rsidRDefault="00A8123E" w:rsidP="00EA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Permanently</w:t>
            </w:r>
          </w:p>
        </w:tc>
      </w:tr>
      <w:tr w:rsidR="00A8123E" w:rsidRPr="006240E3" w:rsidTr="00A8123E">
        <w:trPr>
          <w:trHeight w:hRule="exact" w:val="1247"/>
          <w:jc w:val="center"/>
        </w:trPr>
        <w:tc>
          <w:tcPr>
            <w:tcW w:w="3397" w:type="dxa"/>
          </w:tcPr>
          <w:p w:rsidR="00A8123E" w:rsidRDefault="00A8123E" w:rsidP="006240E3">
            <w:pPr>
              <w:jc w:val="center"/>
              <w:rPr>
                <w:sz w:val="24"/>
                <w:szCs w:val="24"/>
              </w:rPr>
            </w:pPr>
          </w:p>
          <w:p w:rsidR="00A8123E" w:rsidRPr="006240E3" w:rsidRDefault="00A8123E" w:rsidP="00624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 of bad debts written off</w:t>
            </w:r>
          </w:p>
        </w:tc>
        <w:tc>
          <w:tcPr>
            <w:tcW w:w="2835" w:type="dxa"/>
          </w:tcPr>
          <w:p w:rsidR="00A8123E" w:rsidRDefault="00A8123E" w:rsidP="006240E3">
            <w:pPr>
              <w:jc w:val="center"/>
              <w:rPr>
                <w:sz w:val="24"/>
                <w:szCs w:val="24"/>
              </w:rPr>
            </w:pPr>
          </w:p>
          <w:p w:rsidR="00A8123E" w:rsidRPr="006240E3" w:rsidRDefault="00A8123E" w:rsidP="00624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Regulator</w:t>
            </w:r>
          </w:p>
        </w:tc>
        <w:tc>
          <w:tcPr>
            <w:tcW w:w="2410" w:type="dxa"/>
          </w:tcPr>
          <w:p w:rsidR="00A8123E" w:rsidRDefault="00A8123E" w:rsidP="00EA3131">
            <w:pPr>
              <w:jc w:val="center"/>
              <w:rPr>
                <w:sz w:val="24"/>
                <w:szCs w:val="24"/>
              </w:rPr>
            </w:pPr>
          </w:p>
          <w:p w:rsidR="00A8123E" w:rsidRPr="006240E3" w:rsidRDefault="00A8123E" w:rsidP="00EA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Permanently</w:t>
            </w:r>
          </w:p>
        </w:tc>
      </w:tr>
      <w:tr w:rsidR="00A8123E" w:rsidRPr="006240E3" w:rsidTr="00A8123E">
        <w:trPr>
          <w:trHeight w:hRule="exact" w:val="1247"/>
          <w:jc w:val="center"/>
        </w:trPr>
        <w:tc>
          <w:tcPr>
            <w:tcW w:w="3397" w:type="dxa"/>
          </w:tcPr>
          <w:p w:rsidR="00A8123E" w:rsidRDefault="00A8123E" w:rsidP="006240E3">
            <w:pPr>
              <w:jc w:val="center"/>
              <w:rPr>
                <w:sz w:val="24"/>
                <w:szCs w:val="24"/>
              </w:rPr>
            </w:pPr>
          </w:p>
          <w:p w:rsidR="00A8123E" w:rsidRPr="006240E3" w:rsidRDefault="00A8123E" w:rsidP="00624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Complaints</w:t>
            </w:r>
          </w:p>
        </w:tc>
        <w:tc>
          <w:tcPr>
            <w:tcW w:w="2835" w:type="dxa"/>
          </w:tcPr>
          <w:p w:rsidR="00A8123E" w:rsidRDefault="00A8123E" w:rsidP="006240E3">
            <w:pPr>
              <w:jc w:val="center"/>
              <w:rPr>
                <w:sz w:val="24"/>
                <w:szCs w:val="24"/>
              </w:rPr>
            </w:pPr>
          </w:p>
          <w:p w:rsidR="00A8123E" w:rsidRDefault="00A8123E" w:rsidP="00624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Regulator </w:t>
            </w:r>
          </w:p>
          <w:p w:rsidR="00A8123E" w:rsidRDefault="00A8123E" w:rsidP="006240E3">
            <w:pPr>
              <w:jc w:val="center"/>
              <w:rPr>
                <w:sz w:val="24"/>
                <w:szCs w:val="24"/>
              </w:rPr>
            </w:pPr>
          </w:p>
          <w:p w:rsidR="00A8123E" w:rsidRDefault="00A8123E" w:rsidP="00624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Evidence</w:t>
            </w:r>
          </w:p>
        </w:tc>
        <w:tc>
          <w:tcPr>
            <w:tcW w:w="2410" w:type="dxa"/>
          </w:tcPr>
          <w:p w:rsidR="00A8123E" w:rsidRDefault="00A8123E" w:rsidP="006240E3">
            <w:pPr>
              <w:jc w:val="center"/>
              <w:rPr>
                <w:sz w:val="24"/>
                <w:szCs w:val="24"/>
              </w:rPr>
            </w:pPr>
          </w:p>
          <w:p w:rsidR="00A8123E" w:rsidRPr="006240E3" w:rsidRDefault="00A8123E" w:rsidP="00624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Complaint resolution plus 3 years</w:t>
            </w:r>
          </w:p>
        </w:tc>
      </w:tr>
      <w:tr w:rsidR="00A8123E" w:rsidRPr="006240E3" w:rsidTr="00A8123E">
        <w:trPr>
          <w:trHeight w:hRule="exact" w:val="1247"/>
          <w:jc w:val="center"/>
        </w:trPr>
        <w:tc>
          <w:tcPr>
            <w:tcW w:w="3397" w:type="dxa"/>
          </w:tcPr>
          <w:p w:rsidR="00A8123E" w:rsidRDefault="00A8123E" w:rsidP="006240E3">
            <w:pPr>
              <w:jc w:val="center"/>
              <w:rPr>
                <w:sz w:val="24"/>
                <w:szCs w:val="24"/>
              </w:rPr>
            </w:pPr>
          </w:p>
          <w:p w:rsidR="00A8123E" w:rsidRPr="006240E3" w:rsidRDefault="00A8123E" w:rsidP="00624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 Promotions</w:t>
            </w:r>
          </w:p>
        </w:tc>
        <w:tc>
          <w:tcPr>
            <w:tcW w:w="2835" w:type="dxa"/>
          </w:tcPr>
          <w:p w:rsidR="00A8123E" w:rsidRDefault="00A8123E" w:rsidP="000A7DC3">
            <w:pPr>
              <w:jc w:val="center"/>
              <w:rPr>
                <w:sz w:val="24"/>
                <w:szCs w:val="24"/>
              </w:rPr>
            </w:pPr>
          </w:p>
          <w:p w:rsidR="00A8123E" w:rsidRDefault="00A8123E" w:rsidP="000A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Regulator </w:t>
            </w:r>
          </w:p>
          <w:p w:rsidR="00A8123E" w:rsidRDefault="00A8123E" w:rsidP="000A7DC3">
            <w:pPr>
              <w:jc w:val="center"/>
              <w:rPr>
                <w:sz w:val="24"/>
                <w:szCs w:val="24"/>
              </w:rPr>
            </w:pPr>
          </w:p>
          <w:p w:rsidR="00A8123E" w:rsidRDefault="00A8123E" w:rsidP="000A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Evidence</w:t>
            </w:r>
          </w:p>
        </w:tc>
        <w:tc>
          <w:tcPr>
            <w:tcW w:w="2410" w:type="dxa"/>
          </w:tcPr>
          <w:p w:rsidR="00A8123E" w:rsidRPr="006240E3" w:rsidRDefault="00A8123E" w:rsidP="00624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years after the end of promotion for promotions not involving pensions or life policies</w:t>
            </w:r>
          </w:p>
        </w:tc>
      </w:tr>
      <w:tr w:rsidR="00A8123E" w:rsidRPr="006240E3" w:rsidTr="00A8123E">
        <w:trPr>
          <w:trHeight w:hRule="exact" w:val="1247"/>
          <w:jc w:val="center"/>
        </w:trPr>
        <w:tc>
          <w:tcPr>
            <w:tcW w:w="3397" w:type="dxa"/>
          </w:tcPr>
          <w:p w:rsidR="00A8123E" w:rsidRDefault="00A8123E" w:rsidP="006240E3">
            <w:pPr>
              <w:jc w:val="center"/>
              <w:rPr>
                <w:sz w:val="24"/>
                <w:szCs w:val="24"/>
              </w:rPr>
            </w:pPr>
          </w:p>
          <w:p w:rsidR="00A8123E" w:rsidRPr="006240E3" w:rsidRDefault="00A8123E" w:rsidP="00624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Call recordings</w:t>
            </w:r>
          </w:p>
        </w:tc>
        <w:tc>
          <w:tcPr>
            <w:tcW w:w="2835" w:type="dxa"/>
          </w:tcPr>
          <w:p w:rsidR="00A8123E" w:rsidRDefault="00A8123E" w:rsidP="006240E3">
            <w:pPr>
              <w:jc w:val="center"/>
              <w:rPr>
                <w:sz w:val="24"/>
                <w:szCs w:val="24"/>
              </w:rPr>
            </w:pPr>
          </w:p>
          <w:p w:rsidR="00A8123E" w:rsidRDefault="00A8123E" w:rsidP="00624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Regulator</w:t>
            </w:r>
          </w:p>
        </w:tc>
        <w:tc>
          <w:tcPr>
            <w:tcW w:w="2410" w:type="dxa"/>
          </w:tcPr>
          <w:p w:rsidR="00A8123E" w:rsidRDefault="00A8123E" w:rsidP="006240E3">
            <w:pPr>
              <w:jc w:val="center"/>
              <w:rPr>
                <w:sz w:val="24"/>
                <w:szCs w:val="24"/>
              </w:rPr>
            </w:pPr>
          </w:p>
          <w:p w:rsidR="00A8123E" w:rsidRPr="006240E3" w:rsidRDefault="00A8123E" w:rsidP="00624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months</w:t>
            </w:r>
          </w:p>
        </w:tc>
      </w:tr>
      <w:tr w:rsidR="00A8123E" w:rsidRPr="00C925FA" w:rsidTr="00A8123E">
        <w:trPr>
          <w:trHeight w:hRule="exact" w:val="1247"/>
          <w:jc w:val="center"/>
        </w:trPr>
        <w:tc>
          <w:tcPr>
            <w:tcW w:w="3397" w:type="dxa"/>
          </w:tcPr>
          <w:p w:rsidR="00A8123E" w:rsidRPr="00C925FA" w:rsidRDefault="00A8123E" w:rsidP="00F84690">
            <w:pPr>
              <w:jc w:val="center"/>
              <w:rPr>
                <w:b/>
                <w:sz w:val="28"/>
                <w:szCs w:val="28"/>
              </w:rPr>
            </w:pPr>
          </w:p>
          <w:p w:rsidR="00A8123E" w:rsidRPr="00C925FA" w:rsidRDefault="00A8123E" w:rsidP="00F846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Anti-Money Laundering</w:t>
            </w:r>
          </w:p>
        </w:tc>
        <w:tc>
          <w:tcPr>
            <w:tcW w:w="2835" w:type="dxa"/>
          </w:tcPr>
          <w:p w:rsidR="00A8123E" w:rsidRPr="00C925FA" w:rsidRDefault="00A8123E" w:rsidP="00F84690">
            <w:pPr>
              <w:jc w:val="center"/>
              <w:rPr>
                <w:b/>
                <w:sz w:val="28"/>
                <w:szCs w:val="28"/>
              </w:rPr>
            </w:pPr>
          </w:p>
          <w:p w:rsidR="00A8123E" w:rsidRPr="00C925FA" w:rsidRDefault="00A8123E" w:rsidP="00F84690">
            <w:pPr>
              <w:jc w:val="center"/>
              <w:rPr>
                <w:b/>
                <w:sz w:val="28"/>
                <w:szCs w:val="28"/>
              </w:rPr>
            </w:pPr>
            <w:r w:rsidRPr="00C925FA">
              <w:rPr>
                <w:b/>
                <w:sz w:val="28"/>
                <w:szCs w:val="28"/>
              </w:rPr>
              <w:t>Required by</w:t>
            </w:r>
          </w:p>
        </w:tc>
        <w:tc>
          <w:tcPr>
            <w:tcW w:w="2410" w:type="dxa"/>
          </w:tcPr>
          <w:p w:rsidR="00A8123E" w:rsidRPr="00C925FA" w:rsidRDefault="00A8123E" w:rsidP="00F84690">
            <w:pPr>
              <w:jc w:val="center"/>
              <w:rPr>
                <w:b/>
                <w:sz w:val="28"/>
                <w:szCs w:val="28"/>
              </w:rPr>
            </w:pPr>
          </w:p>
          <w:p w:rsidR="00A8123E" w:rsidRPr="00C925FA" w:rsidRDefault="00A8123E" w:rsidP="00F84690">
            <w:pPr>
              <w:jc w:val="center"/>
              <w:rPr>
                <w:b/>
                <w:sz w:val="28"/>
                <w:szCs w:val="28"/>
              </w:rPr>
            </w:pPr>
            <w:r w:rsidRPr="00C925FA">
              <w:rPr>
                <w:b/>
                <w:sz w:val="28"/>
                <w:szCs w:val="28"/>
              </w:rPr>
              <w:t>Retention Period</w:t>
            </w:r>
          </w:p>
        </w:tc>
      </w:tr>
      <w:tr w:rsidR="00A8123E" w:rsidRPr="006240E3" w:rsidTr="00A8123E">
        <w:trPr>
          <w:trHeight w:hRule="exact" w:val="1247"/>
          <w:jc w:val="center"/>
        </w:trPr>
        <w:tc>
          <w:tcPr>
            <w:tcW w:w="3397" w:type="dxa"/>
          </w:tcPr>
          <w:p w:rsidR="00A8123E" w:rsidRPr="006240E3" w:rsidRDefault="00A8123E" w:rsidP="00624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 of identity, member transactions, reports of suspicious transactions (internal and external) , and training provision</w:t>
            </w:r>
          </w:p>
        </w:tc>
        <w:tc>
          <w:tcPr>
            <w:tcW w:w="2835" w:type="dxa"/>
          </w:tcPr>
          <w:p w:rsidR="00A8123E" w:rsidRDefault="00A8123E" w:rsidP="006240E3">
            <w:pPr>
              <w:jc w:val="center"/>
              <w:rPr>
                <w:sz w:val="24"/>
                <w:szCs w:val="24"/>
              </w:rPr>
            </w:pPr>
          </w:p>
          <w:p w:rsidR="00A8123E" w:rsidRDefault="00A8123E" w:rsidP="00624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Anti-Money Laundering</w:t>
            </w:r>
          </w:p>
        </w:tc>
        <w:tc>
          <w:tcPr>
            <w:tcW w:w="2410" w:type="dxa"/>
          </w:tcPr>
          <w:p w:rsidR="00A8123E" w:rsidRDefault="00A8123E" w:rsidP="006240E3">
            <w:pPr>
              <w:jc w:val="center"/>
              <w:rPr>
                <w:sz w:val="24"/>
                <w:szCs w:val="24"/>
              </w:rPr>
            </w:pPr>
          </w:p>
          <w:p w:rsidR="00A8123E" w:rsidRPr="006240E3" w:rsidRDefault="00A8123E" w:rsidP="00624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years after member leaves</w:t>
            </w:r>
          </w:p>
        </w:tc>
      </w:tr>
      <w:tr w:rsidR="00A8123E" w:rsidRPr="006240E3" w:rsidTr="00A8123E">
        <w:trPr>
          <w:trHeight w:hRule="exact" w:val="1247"/>
          <w:jc w:val="center"/>
        </w:trPr>
        <w:tc>
          <w:tcPr>
            <w:tcW w:w="3397" w:type="dxa"/>
          </w:tcPr>
          <w:p w:rsidR="00A8123E" w:rsidRDefault="00A8123E" w:rsidP="000A7DC3">
            <w:pPr>
              <w:jc w:val="center"/>
              <w:rPr>
                <w:b/>
                <w:sz w:val="28"/>
                <w:szCs w:val="28"/>
              </w:rPr>
            </w:pPr>
          </w:p>
          <w:p w:rsidR="00A8123E" w:rsidRPr="00C925FA" w:rsidRDefault="00A8123E" w:rsidP="000A7D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Accounting Records</w:t>
            </w:r>
          </w:p>
        </w:tc>
        <w:tc>
          <w:tcPr>
            <w:tcW w:w="2835" w:type="dxa"/>
          </w:tcPr>
          <w:p w:rsidR="00A8123E" w:rsidRPr="00C925FA" w:rsidRDefault="00A8123E" w:rsidP="000A7DC3">
            <w:pPr>
              <w:jc w:val="center"/>
              <w:rPr>
                <w:b/>
                <w:sz w:val="28"/>
                <w:szCs w:val="28"/>
              </w:rPr>
            </w:pPr>
          </w:p>
          <w:p w:rsidR="00A8123E" w:rsidRPr="00C925FA" w:rsidRDefault="00A8123E" w:rsidP="000A7DC3">
            <w:pPr>
              <w:jc w:val="center"/>
              <w:rPr>
                <w:b/>
                <w:sz w:val="28"/>
                <w:szCs w:val="28"/>
              </w:rPr>
            </w:pPr>
            <w:r w:rsidRPr="00C925FA">
              <w:rPr>
                <w:b/>
                <w:sz w:val="28"/>
                <w:szCs w:val="28"/>
              </w:rPr>
              <w:t>Required by</w:t>
            </w:r>
          </w:p>
        </w:tc>
        <w:tc>
          <w:tcPr>
            <w:tcW w:w="2410" w:type="dxa"/>
          </w:tcPr>
          <w:p w:rsidR="00A8123E" w:rsidRPr="00C925FA" w:rsidRDefault="00A8123E" w:rsidP="000A7DC3">
            <w:pPr>
              <w:jc w:val="center"/>
              <w:rPr>
                <w:b/>
                <w:sz w:val="28"/>
                <w:szCs w:val="28"/>
              </w:rPr>
            </w:pPr>
          </w:p>
          <w:p w:rsidR="00A8123E" w:rsidRPr="00C925FA" w:rsidRDefault="00A8123E" w:rsidP="000A7DC3">
            <w:pPr>
              <w:jc w:val="center"/>
              <w:rPr>
                <w:b/>
                <w:sz w:val="28"/>
                <w:szCs w:val="28"/>
              </w:rPr>
            </w:pPr>
            <w:r w:rsidRPr="00C925FA">
              <w:rPr>
                <w:b/>
                <w:sz w:val="28"/>
                <w:szCs w:val="28"/>
              </w:rPr>
              <w:t>Retention Period</w:t>
            </w:r>
          </w:p>
        </w:tc>
      </w:tr>
      <w:tr w:rsidR="00A8123E" w:rsidRPr="006240E3" w:rsidTr="00A8123E">
        <w:trPr>
          <w:trHeight w:hRule="exact" w:val="1247"/>
          <w:jc w:val="center"/>
        </w:trPr>
        <w:tc>
          <w:tcPr>
            <w:tcW w:w="3397" w:type="dxa"/>
          </w:tcPr>
          <w:p w:rsidR="00A8123E" w:rsidRDefault="00A8123E" w:rsidP="000A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credit union     account records: </w:t>
            </w:r>
          </w:p>
          <w:p w:rsidR="00A8123E" w:rsidRPr="006240E3" w:rsidRDefault="00A8123E" w:rsidP="000A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Receipts and invoices, ledgers and cash books, payroll information, VAT returns, corporation tax records</w:t>
            </w:r>
          </w:p>
        </w:tc>
        <w:tc>
          <w:tcPr>
            <w:tcW w:w="2835" w:type="dxa"/>
          </w:tcPr>
          <w:p w:rsidR="00A8123E" w:rsidRDefault="00A8123E" w:rsidP="000A7DC3">
            <w:pPr>
              <w:jc w:val="center"/>
              <w:rPr>
                <w:sz w:val="24"/>
                <w:szCs w:val="24"/>
              </w:rPr>
            </w:pPr>
          </w:p>
          <w:p w:rsidR="00A8123E" w:rsidRDefault="00A8123E" w:rsidP="000A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HMRC</w:t>
            </w:r>
          </w:p>
        </w:tc>
        <w:tc>
          <w:tcPr>
            <w:tcW w:w="2410" w:type="dxa"/>
          </w:tcPr>
          <w:p w:rsidR="00A8123E" w:rsidRDefault="00A8123E" w:rsidP="000A7DC3">
            <w:pPr>
              <w:jc w:val="center"/>
              <w:rPr>
                <w:sz w:val="24"/>
                <w:szCs w:val="24"/>
              </w:rPr>
            </w:pPr>
          </w:p>
          <w:p w:rsidR="00A8123E" w:rsidRPr="006240E3" w:rsidRDefault="00A8123E" w:rsidP="000A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years after date to which they refer</w:t>
            </w:r>
          </w:p>
        </w:tc>
      </w:tr>
      <w:tr w:rsidR="00A8123E" w:rsidRPr="006240E3" w:rsidTr="00A8123E">
        <w:trPr>
          <w:trHeight w:hRule="exact" w:val="1247"/>
          <w:jc w:val="center"/>
        </w:trPr>
        <w:tc>
          <w:tcPr>
            <w:tcW w:w="3397" w:type="dxa"/>
          </w:tcPr>
          <w:p w:rsidR="00A8123E" w:rsidRDefault="00A8123E" w:rsidP="000A7DC3">
            <w:pPr>
              <w:jc w:val="center"/>
              <w:rPr>
                <w:sz w:val="24"/>
                <w:szCs w:val="24"/>
              </w:rPr>
            </w:pPr>
          </w:p>
          <w:p w:rsidR="00A8123E" w:rsidRPr="006240E3" w:rsidRDefault="00A8123E" w:rsidP="000A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Loan applications</w:t>
            </w:r>
          </w:p>
        </w:tc>
        <w:tc>
          <w:tcPr>
            <w:tcW w:w="2835" w:type="dxa"/>
          </w:tcPr>
          <w:p w:rsidR="00A8123E" w:rsidRDefault="00A8123E" w:rsidP="000A7DC3">
            <w:pPr>
              <w:jc w:val="center"/>
              <w:rPr>
                <w:sz w:val="24"/>
                <w:szCs w:val="24"/>
              </w:rPr>
            </w:pPr>
          </w:p>
          <w:p w:rsidR="00A8123E" w:rsidRDefault="00A8123E" w:rsidP="000A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Limitations Act 1980</w:t>
            </w:r>
          </w:p>
        </w:tc>
        <w:tc>
          <w:tcPr>
            <w:tcW w:w="2410" w:type="dxa"/>
          </w:tcPr>
          <w:p w:rsidR="00A8123E" w:rsidRDefault="00A8123E" w:rsidP="000A7DC3">
            <w:pPr>
              <w:jc w:val="center"/>
              <w:rPr>
                <w:sz w:val="24"/>
                <w:szCs w:val="24"/>
              </w:rPr>
            </w:pPr>
          </w:p>
          <w:p w:rsidR="00A8123E" w:rsidRPr="006240E3" w:rsidRDefault="00A8123E" w:rsidP="000A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years after loan is repaid</w:t>
            </w:r>
          </w:p>
        </w:tc>
      </w:tr>
      <w:tr w:rsidR="00A8123E" w:rsidRPr="006240E3" w:rsidTr="00A8123E">
        <w:trPr>
          <w:trHeight w:hRule="exact" w:val="1247"/>
          <w:jc w:val="center"/>
        </w:trPr>
        <w:tc>
          <w:tcPr>
            <w:tcW w:w="3397" w:type="dxa"/>
          </w:tcPr>
          <w:p w:rsidR="00A8123E" w:rsidRPr="006240E3" w:rsidRDefault="00A8123E" w:rsidP="00785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 implications of making a subordinated loan (to another credit union)</w:t>
            </w:r>
          </w:p>
        </w:tc>
        <w:tc>
          <w:tcPr>
            <w:tcW w:w="2835" w:type="dxa"/>
          </w:tcPr>
          <w:p w:rsidR="00A8123E" w:rsidRDefault="00A8123E" w:rsidP="000A7DC3">
            <w:pPr>
              <w:jc w:val="center"/>
              <w:rPr>
                <w:sz w:val="24"/>
                <w:szCs w:val="24"/>
              </w:rPr>
            </w:pPr>
          </w:p>
          <w:p w:rsidR="00A8123E" w:rsidRDefault="00A8123E" w:rsidP="000A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Regulator</w:t>
            </w:r>
          </w:p>
        </w:tc>
        <w:tc>
          <w:tcPr>
            <w:tcW w:w="2410" w:type="dxa"/>
          </w:tcPr>
          <w:p w:rsidR="00A8123E" w:rsidRDefault="00A8123E" w:rsidP="000A7DC3">
            <w:pPr>
              <w:jc w:val="center"/>
              <w:rPr>
                <w:sz w:val="24"/>
                <w:szCs w:val="24"/>
              </w:rPr>
            </w:pPr>
          </w:p>
          <w:p w:rsidR="00A8123E" w:rsidRPr="006240E3" w:rsidRDefault="00A8123E" w:rsidP="000A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years</w:t>
            </w:r>
          </w:p>
        </w:tc>
      </w:tr>
      <w:tr w:rsidR="00A8123E" w:rsidRPr="006240E3" w:rsidTr="00A8123E">
        <w:trPr>
          <w:trHeight w:hRule="exact" w:val="1247"/>
          <w:jc w:val="center"/>
        </w:trPr>
        <w:tc>
          <w:tcPr>
            <w:tcW w:w="3397" w:type="dxa"/>
          </w:tcPr>
          <w:p w:rsidR="00A8123E" w:rsidRDefault="00A8123E" w:rsidP="000A7DC3">
            <w:pPr>
              <w:jc w:val="center"/>
              <w:rPr>
                <w:sz w:val="24"/>
                <w:szCs w:val="24"/>
              </w:rPr>
            </w:pPr>
          </w:p>
          <w:p w:rsidR="00A8123E" w:rsidRPr="006240E3" w:rsidRDefault="00A8123E" w:rsidP="000A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Investment decisions</w:t>
            </w:r>
          </w:p>
        </w:tc>
        <w:tc>
          <w:tcPr>
            <w:tcW w:w="2835" w:type="dxa"/>
          </w:tcPr>
          <w:p w:rsidR="00A8123E" w:rsidRDefault="00A8123E" w:rsidP="000A7DC3">
            <w:pPr>
              <w:jc w:val="center"/>
              <w:rPr>
                <w:sz w:val="24"/>
                <w:szCs w:val="24"/>
              </w:rPr>
            </w:pPr>
          </w:p>
          <w:p w:rsidR="00A8123E" w:rsidRDefault="00A8123E" w:rsidP="000A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Regulator</w:t>
            </w:r>
          </w:p>
        </w:tc>
        <w:tc>
          <w:tcPr>
            <w:tcW w:w="2410" w:type="dxa"/>
          </w:tcPr>
          <w:p w:rsidR="00A8123E" w:rsidRDefault="00A8123E" w:rsidP="000A7DC3">
            <w:pPr>
              <w:jc w:val="center"/>
              <w:rPr>
                <w:sz w:val="24"/>
                <w:szCs w:val="24"/>
              </w:rPr>
            </w:pPr>
          </w:p>
          <w:p w:rsidR="00A8123E" w:rsidRPr="006240E3" w:rsidRDefault="00A8123E" w:rsidP="000A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years</w:t>
            </w:r>
          </w:p>
        </w:tc>
      </w:tr>
    </w:tbl>
    <w:p w:rsidR="006240E3" w:rsidRPr="006240E3" w:rsidRDefault="006240E3" w:rsidP="006240E3">
      <w:pPr>
        <w:rPr>
          <w:sz w:val="24"/>
          <w:szCs w:val="24"/>
        </w:rPr>
      </w:pPr>
    </w:p>
    <w:p w:rsidR="00947DAA" w:rsidRPr="00947DAA" w:rsidRDefault="00947DAA" w:rsidP="00947DAA">
      <w:pPr>
        <w:rPr>
          <w:sz w:val="24"/>
          <w:szCs w:val="24"/>
        </w:rPr>
      </w:pPr>
    </w:p>
    <w:p w:rsidR="00BC72D9" w:rsidRDefault="00BC72D9" w:rsidP="00BC72D9"/>
    <w:sectPr w:rsidR="00BC7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C23FF"/>
    <w:multiLevelType w:val="hybridMultilevel"/>
    <w:tmpl w:val="E80A6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D9"/>
    <w:rsid w:val="000114B7"/>
    <w:rsid w:val="00015714"/>
    <w:rsid w:val="000A7DC3"/>
    <w:rsid w:val="00125DC0"/>
    <w:rsid w:val="00221702"/>
    <w:rsid w:val="003B2594"/>
    <w:rsid w:val="00405D1C"/>
    <w:rsid w:val="005E1DA0"/>
    <w:rsid w:val="006240E3"/>
    <w:rsid w:val="00785F8E"/>
    <w:rsid w:val="00946E91"/>
    <w:rsid w:val="00947DAA"/>
    <w:rsid w:val="00A8123E"/>
    <w:rsid w:val="00B91FB6"/>
    <w:rsid w:val="00B94787"/>
    <w:rsid w:val="00BC72D9"/>
    <w:rsid w:val="00C0788B"/>
    <w:rsid w:val="00C41D41"/>
    <w:rsid w:val="00C925FA"/>
    <w:rsid w:val="00DF64DA"/>
    <w:rsid w:val="00E75711"/>
    <w:rsid w:val="00EA3131"/>
    <w:rsid w:val="00EC6B8B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0106A-51F3-4225-A196-7309AE47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2D9"/>
    <w:pPr>
      <w:ind w:left="720"/>
      <w:contextualSpacing/>
    </w:pPr>
  </w:style>
  <w:style w:type="table" w:styleId="TableGrid">
    <w:name w:val="Table Grid"/>
    <w:basedOn w:val="TableNormal"/>
    <w:uiPriority w:val="39"/>
    <w:rsid w:val="0062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5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71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12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95F74-B320-4FBC-ABF9-CB0E2824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 2</dc:creator>
  <cp:keywords/>
  <dc:description/>
  <cp:lastModifiedBy>Sheila Murtagh</cp:lastModifiedBy>
  <cp:revision>3</cp:revision>
  <cp:lastPrinted>2018-05-21T12:58:00Z</cp:lastPrinted>
  <dcterms:created xsi:type="dcterms:W3CDTF">2018-05-21T13:04:00Z</dcterms:created>
  <dcterms:modified xsi:type="dcterms:W3CDTF">2018-05-21T13:11:00Z</dcterms:modified>
</cp:coreProperties>
</file>